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7889" w14:textId="0AFD5A55" w:rsidR="000922CD" w:rsidRDefault="00A53E7F" w:rsidP="00A765AA">
      <w:pPr>
        <w:pBdr>
          <w:bottom w:val="single" w:sz="4" w:space="1" w:color="002060"/>
        </w:pBdr>
        <w:spacing w:after="0"/>
        <w:jc w:val="center"/>
        <w:rPr>
          <w:rFonts w:cs="Open Sans Light"/>
          <w:b/>
          <w:color w:val="C00000"/>
          <w:sz w:val="28"/>
          <w:szCs w:val="28"/>
        </w:rPr>
      </w:pPr>
      <w:r w:rsidRPr="00BF2160">
        <w:rPr>
          <w:noProof/>
          <w:sz w:val="20"/>
          <w:lang w:eastAsia="en-AU"/>
        </w:rPr>
        <w:drawing>
          <wp:anchor distT="0" distB="0" distL="114300" distR="114300" simplePos="0" relativeHeight="251659264" behindDoc="1" locked="0" layoutInCell="1" allowOverlap="1" wp14:anchorId="57B5966B" wp14:editId="7F1E78F5">
            <wp:simplePos x="0" y="0"/>
            <wp:positionH relativeFrom="margin">
              <wp:posOffset>228600</wp:posOffset>
            </wp:positionH>
            <wp:positionV relativeFrom="margin">
              <wp:posOffset>-53975</wp:posOffset>
            </wp:positionV>
            <wp:extent cx="36195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0463" y="20832"/>
                <wp:lineTo x="20463" y="0"/>
                <wp:lineTo x="0" y="0"/>
              </wp:wrapPolygon>
            </wp:wrapTight>
            <wp:docPr id="1" name="Picture 1" descr="C:\Users\Ann\Google Drive\JPC\Handbooks\JPC Key Documents\J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\Google Drive\JPC\Handbooks\JPC Key Documents\JP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2CD" w:rsidRPr="00A53E7F">
        <w:rPr>
          <w:rFonts w:cs="Open Sans Light"/>
          <w:b/>
          <w:color w:val="C00000"/>
          <w:sz w:val="28"/>
          <w:szCs w:val="28"/>
        </w:rPr>
        <w:t>Year</w:t>
      </w:r>
      <w:r w:rsidR="00A23B4F" w:rsidRPr="00A53E7F">
        <w:rPr>
          <w:rFonts w:cs="Open Sans Light"/>
          <w:b/>
          <w:color w:val="C00000"/>
          <w:sz w:val="28"/>
          <w:szCs w:val="28"/>
        </w:rPr>
        <w:t>s</w:t>
      </w:r>
      <w:r w:rsidR="000922CD" w:rsidRPr="00A53E7F">
        <w:rPr>
          <w:rFonts w:cs="Open Sans Light"/>
          <w:b/>
          <w:color w:val="C00000"/>
          <w:sz w:val="28"/>
          <w:szCs w:val="28"/>
        </w:rPr>
        <w:t xml:space="preserve"> 11 &amp; 12: Key Academic dates for the </w:t>
      </w:r>
      <w:r w:rsidR="00EB0B37">
        <w:rPr>
          <w:rFonts w:cs="Open Sans Light"/>
          <w:b/>
          <w:color w:val="C00000"/>
          <w:sz w:val="28"/>
          <w:szCs w:val="28"/>
        </w:rPr>
        <w:t>E</w:t>
      </w:r>
      <w:r w:rsidR="000922CD" w:rsidRPr="00A53E7F">
        <w:rPr>
          <w:rFonts w:cs="Open Sans Light"/>
          <w:b/>
          <w:color w:val="C00000"/>
          <w:sz w:val="28"/>
          <w:szCs w:val="28"/>
        </w:rPr>
        <w:t>nd of Semester 2, 20</w:t>
      </w:r>
      <w:r w:rsidR="00F72C41">
        <w:rPr>
          <w:rFonts w:cs="Open Sans Light"/>
          <w:b/>
          <w:color w:val="C00000"/>
          <w:sz w:val="28"/>
          <w:szCs w:val="28"/>
        </w:rPr>
        <w:t>2</w:t>
      </w:r>
      <w:r w:rsidR="006E74CD">
        <w:rPr>
          <w:rFonts w:cs="Open Sans Light"/>
          <w:b/>
          <w:color w:val="C00000"/>
          <w:sz w:val="28"/>
          <w:szCs w:val="28"/>
        </w:rPr>
        <w:t>5</w:t>
      </w:r>
    </w:p>
    <w:p w14:paraId="73DFC50A" w14:textId="77777777" w:rsidR="00A66D47" w:rsidRPr="005550C6" w:rsidRDefault="00A66D47" w:rsidP="00A66D4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768A7D42" w14:textId="0AF9FE62" w:rsidR="00C43630" w:rsidRPr="005550C6" w:rsidRDefault="00C43630" w:rsidP="00EB0B3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550C6">
        <w:rPr>
          <w:rFonts w:asciiTheme="majorHAnsi" w:hAnsiTheme="majorHAnsi" w:cstheme="majorHAnsi"/>
          <w:sz w:val="24"/>
          <w:szCs w:val="24"/>
        </w:rPr>
        <w:t>The following are important dates for the end of Semester 202</w:t>
      </w:r>
      <w:r w:rsidR="006E74CD">
        <w:rPr>
          <w:rFonts w:asciiTheme="majorHAnsi" w:hAnsiTheme="majorHAnsi" w:cstheme="majorHAnsi"/>
          <w:sz w:val="24"/>
          <w:szCs w:val="24"/>
        </w:rPr>
        <w:t>5</w:t>
      </w:r>
      <w:r w:rsidRPr="005550C6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GridTable1Light-Accent1"/>
        <w:tblW w:w="0" w:type="auto"/>
        <w:jc w:val="center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811"/>
      </w:tblGrid>
      <w:tr w:rsidR="00AB56B0" w:rsidRPr="005550C6" w14:paraId="01164427" w14:textId="77777777" w:rsidTr="008F0213">
        <w:trPr>
          <w:trHeight w:val="113"/>
          <w:jc w:val="center"/>
        </w:trPr>
        <w:tc>
          <w:tcPr>
            <w:tcW w:w="10201" w:type="dxa"/>
            <w:gridSpan w:val="2"/>
            <w:shd w:val="clear" w:color="auto" w:fill="002060"/>
            <w:vAlign w:val="center"/>
          </w:tcPr>
          <w:p w14:paraId="164C1D8C" w14:textId="47C01B0F" w:rsidR="00AB56B0" w:rsidRPr="005550C6" w:rsidRDefault="00AB56B0" w:rsidP="00534D5F">
            <w:pPr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left="102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End of Semester (Year 11 and 12)</w:t>
            </w:r>
          </w:p>
        </w:tc>
      </w:tr>
      <w:tr w:rsidR="00C43630" w:rsidRPr="005550C6" w14:paraId="0EB31E6C" w14:textId="77777777" w:rsidTr="00E96CB7">
        <w:trPr>
          <w:trHeight w:val="386"/>
          <w:jc w:val="center"/>
        </w:trPr>
        <w:tc>
          <w:tcPr>
            <w:tcW w:w="4390" w:type="dxa"/>
            <w:vAlign w:val="center"/>
          </w:tcPr>
          <w:p w14:paraId="4E4139CC" w14:textId="06301B54" w:rsidR="00C43630" w:rsidRPr="005550C6" w:rsidRDefault="00C43630" w:rsidP="00534D5F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Last day of classes</w:t>
            </w:r>
          </w:p>
        </w:tc>
        <w:tc>
          <w:tcPr>
            <w:tcW w:w="5811" w:type="dxa"/>
            <w:vAlign w:val="center"/>
          </w:tcPr>
          <w:p w14:paraId="375338B4" w14:textId="3C1919BB" w:rsidR="00C43630" w:rsidRPr="00242E2A" w:rsidRDefault="0073157E" w:rsidP="00534D5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</w:pPr>
            <w:r w:rsidRPr="00242E2A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r w:rsidR="00737D08" w:rsidRPr="00242E2A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0</w:t>
            </w:r>
            <w:r w:rsidRPr="00242E2A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  <w:vertAlign w:val="superscript"/>
              </w:rPr>
              <w:t xml:space="preserve"> </w:t>
            </w:r>
            <w:r w:rsidRPr="00242E2A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November 202</w:t>
            </w:r>
            <w:r w:rsidR="00761533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</w:tr>
      <w:tr w:rsidR="00C43630" w:rsidRPr="005550C6" w14:paraId="4B1A9914" w14:textId="77777777" w:rsidTr="00347EA0">
        <w:trPr>
          <w:trHeight w:val="113"/>
          <w:jc w:val="center"/>
        </w:trPr>
        <w:tc>
          <w:tcPr>
            <w:tcW w:w="4390" w:type="dxa"/>
            <w:vAlign w:val="center"/>
          </w:tcPr>
          <w:p w14:paraId="08A2BE39" w14:textId="1A63A904" w:rsidR="00C43630" w:rsidRPr="005550C6" w:rsidRDefault="00C43630" w:rsidP="00534D5F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Exam period </w:t>
            </w:r>
          </w:p>
        </w:tc>
        <w:tc>
          <w:tcPr>
            <w:tcW w:w="5811" w:type="dxa"/>
            <w:vAlign w:val="center"/>
          </w:tcPr>
          <w:p w14:paraId="666851E5" w14:textId="4E9317CD" w:rsidR="00C43630" w:rsidRPr="00242E2A" w:rsidRDefault="0073157E" w:rsidP="00534D5F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242E2A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636374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-1</w:t>
            </w:r>
            <w:r w:rsidR="00242E2A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4</w:t>
            </w:r>
            <w:r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November</w:t>
            </w:r>
          </w:p>
        </w:tc>
      </w:tr>
      <w:tr w:rsidR="00C43630" w:rsidRPr="005550C6" w14:paraId="46016C65" w14:textId="77777777" w:rsidTr="00347EA0">
        <w:trPr>
          <w:trHeight w:val="113"/>
          <w:jc w:val="center"/>
        </w:trPr>
        <w:tc>
          <w:tcPr>
            <w:tcW w:w="4390" w:type="dxa"/>
            <w:vAlign w:val="center"/>
          </w:tcPr>
          <w:p w14:paraId="0DC59DA1" w14:textId="6FD54C9D" w:rsidR="00C43630" w:rsidRPr="005550C6" w:rsidRDefault="00C43630" w:rsidP="00C43630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AST Practice (Year 11 ‘T’ Students only)</w:t>
            </w:r>
          </w:p>
        </w:tc>
        <w:tc>
          <w:tcPr>
            <w:tcW w:w="5811" w:type="dxa"/>
            <w:vAlign w:val="center"/>
          </w:tcPr>
          <w:p w14:paraId="713CD698" w14:textId="29FCDFB8" w:rsidR="00C43630" w:rsidRPr="00242E2A" w:rsidRDefault="00636374" w:rsidP="00534D5F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242E2A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7</w:t>
            </w:r>
            <w:r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November</w:t>
            </w:r>
          </w:p>
        </w:tc>
      </w:tr>
      <w:tr w:rsidR="004C31A9" w:rsidRPr="005550C6" w14:paraId="7C906F37" w14:textId="77777777" w:rsidTr="00347EA0">
        <w:trPr>
          <w:trHeight w:val="113"/>
          <w:jc w:val="center"/>
        </w:trPr>
        <w:tc>
          <w:tcPr>
            <w:tcW w:w="4390" w:type="dxa"/>
            <w:vAlign w:val="center"/>
          </w:tcPr>
          <w:p w14:paraId="08D82623" w14:textId="3B535DE3" w:rsidR="004C31A9" w:rsidRPr="005550C6" w:rsidRDefault="004C31A9" w:rsidP="00C43630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Exam Results Released </w:t>
            </w:r>
          </w:p>
        </w:tc>
        <w:tc>
          <w:tcPr>
            <w:tcW w:w="5811" w:type="dxa"/>
            <w:vAlign w:val="center"/>
          </w:tcPr>
          <w:p w14:paraId="673BCF66" w14:textId="01E97245" w:rsidR="004C31A9" w:rsidRPr="00242E2A" w:rsidRDefault="00242E2A" w:rsidP="00534D5F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19</w:t>
            </w:r>
            <w:r w:rsidR="00636374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November (</w:t>
            </w:r>
            <w:r w:rsidR="00DC476C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9</w:t>
            </w:r>
            <w:r w:rsidR="00522181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636374" w:rsidRPr="00242E2A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m)</w:t>
            </w:r>
          </w:p>
        </w:tc>
      </w:tr>
      <w:tr w:rsidR="00C43630" w:rsidRPr="005550C6" w14:paraId="0D2AFCE1" w14:textId="77777777" w:rsidTr="00347EA0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FA83D2D" w14:textId="091DE4E5" w:rsidR="00C43630" w:rsidRPr="005550C6" w:rsidRDefault="00BB3A0A" w:rsidP="00534D5F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Assessment Feedback days (compulsory) </w:t>
            </w:r>
          </w:p>
        </w:tc>
        <w:tc>
          <w:tcPr>
            <w:tcW w:w="5811" w:type="dxa"/>
            <w:vAlign w:val="center"/>
          </w:tcPr>
          <w:p w14:paraId="343FC310" w14:textId="60346AE4" w:rsidR="00C43630" w:rsidRPr="006E74CD" w:rsidRDefault="003B7AE5" w:rsidP="00347EA0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EE0000"/>
                <w:sz w:val="24"/>
                <w:szCs w:val="24"/>
              </w:rPr>
            </w:pPr>
            <w:r w:rsidRPr="003B7AE5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19</w:t>
            </w:r>
            <w:r w:rsidR="006E69EA" w:rsidRPr="003B7AE5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-2</w:t>
            </w:r>
            <w:r w:rsidRPr="003B7AE5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0</w:t>
            </w:r>
            <w:r w:rsidR="006E69EA" w:rsidRPr="003B7AE5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November </w:t>
            </w:r>
          </w:p>
        </w:tc>
      </w:tr>
      <w:tr w:rsidR="00C43630" w:rsidRPr="005550C6" w14:paraId="79ABD555" w14:textId="77777777" w:rsidTr="00347EA0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7BF424" w14:textId="36E9A87C" w:rsidR="00C43630" w:rsidRPr="005550C6" w:rsidRDefault="00BB3A0A" w:rsidP="00534D5F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Year 12 Schoool and House Farewell </w:t>
            </w:r>
            <w:r w:rsidR="00AB56B0">
              <w:rPr>
                <w:rFonts w:asciiTheme="majorHAnsi" w:hAnsiTheme="majorHAnsi" w:cstheme="majorHAnsi"/>
                <w:b w:val="0"/>
                <w:bCs w:val="0"/>
                <w:iCs/>
                <w:color w:val="000000" w:themeColor="text1"/>
                <w:sz w:val="24"/>
                <w:szCs w:val="24"/>
              </w:rPr>
              <w:t>(Year 11 and 12 to attend)</w:t>
            </w:r>
          </w:p>
        </w:tc>
        <w:tc>
          <w:tcPr>
            <w:tcW w:w="5811" w:type="dxa"/>
            <w:vAlign w:val="center"/>
          </w:tcPr>
          <w:p w14:paraId="0C4BD505" w14:textId="5836B1F3" w:rsidR="00C43630" w:rsidRPr="001E2BD6" w:rsidRDefault="006E69EA" w:rsidP="00534D5F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2</w:t>
            </w:r>
            <w:r w:rsidR="003B7AE5"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0</w:t>
            </w:r>
            <w:r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November </w:t>
            </w:r>
            <w:r w:rsidR="00347EA0"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(Period </w:t>
            </w:r>
            <w:r w:rsidR="00761533"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3</w:t>
            </w:r>
            <w:r w:rsidR="00347EA0"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&amp; </w:t>
            </w:r>
            <w:r w:rsidR="00761533"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4</w:t>
            </w:r>
            <w:r w:rsidR="00347EA0" w:rsidRPr="001E2BD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)</w:t>
            </w:r>
          </w:p>
          <w:p w14:paraId="7851EADB" w14:textId="39E5BE3C" w:rsidR="00EB0B37" w:rsidRPr="006E74CD" w:rsidRDefault="00EB0B37" w:rsidP="00F81F69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EE0000"/>
                <w:sz w:val="24"/>
                <w:szCs w:val="24"/>
              </w:rPr>
            </w:pPr>
          </w:p>
        </w:tc>
      </w:tr>
    </w:tbl>
    <w:p w14:paraId="7671B2C7" w14:textId="78AA8F4A" w:rsidR="00BC0A91" w:rsidRPr="005550C6" w:rsidRDefault="00BC0A91" w:rsidP="007D03F0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550C6">
        <w:rPr>
          <w:rFonts w:asciiTheme="majorHAnsi" w:hAnsiTheme="majorHAnsi" w:cstheme="majorHAnsi"/>
          <w:sz w:val="24"/>
          <w:szCs w:val="24"/>
        </w:rPr>
        <w:t xml:space="preserve">*Please ensure all school resources (English books, etc.) are returned on or before </w:t>
      </w:r>
      <w:r w:rsidR="006216DB">
        <w:rPr>
          <w:rFonts w:asciiTheme="majorHAnsi" w:hAnsiTheme="majorHAnsi" w:cstheme="majorHAnsi"/>
          <w:sz w:val="24"/>
          <w:szCs w:val="24"/>
        </w:rPr>
        <w:t>14</w:t>
      </w:r>
      <w:r w:rsidRPr="005550C6">
        <w:rPr>
          <w:rFonts w:asciiTheme="majorHAnsi" w:hAnsiTheme="majorHAnsi" w:cstheme="majorHAnsi"/>
          <w:sz w:val="24"/>
          <w:szCs w:val="24"/>
        </w:rPr>
        <w:t xml:space="preserve"> November.</w:t>
      </w:r>
    </w:p>
    <w:p w14:paraId="6364DD63" w14:textId="77777777" w:rsidR="00BC0A91" w:rsidRPr="005550C6" w:rsidRDefault="00BC0A91" w:rsidP="00A66D4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4C263E30" w14:textId="6D794E6C" w:rsidR="00C43630" w:rsidRPr="005550C6" w:rsidRDefault="00BB3A0A" w:rsidP="006B05A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550C6">
        <w:rPr>
          <w:rFonts w:asciiTheme="majorHAnsi" w:hAnsiTheme="majorHAnsi" w:cstheme="majorHAnsi"/>
          <w:sz w:val="24"/>
          <w:szCs w:val="24"/>
        </w:rPr>
        <w:t xml:space="preserve">The following are important dates </w:t>
      </w:r>
      <w:r w:rsidR="000010EE" w:rsidRPr="005550C6">
        <w:rPr>
          <w:rFonts w:asciiTheme="majorHAnsi" w:hAnsiTheme="majorHAnsi" w:cstheme="majorHAnsi"/>
          <w:sz w:val="24"/>
          <w:szCs w:val="24"/>
        </w:rPr>
        <w:t xml:space="preserve">regarding assessment </w:t>
      </w:r>
    </w:p>
    <w:tbl>
      <w:tblPr>
        <w:tblStyle w:val="GridTable1Light-Accent1"/>
        <w:tblW w:w="0" w:type="auto"/>
        <w:jc w:val="center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984"/>
        <w:gridCol w:w="2984"/>
      </w:tblGrid>
      <w:tr w:rsidR="000922CD" w:rsidRPr="005550C6" w14:paraId="45801679" w14:textId="77777777" w:rsidTr="004C31A9">
        <w:trPr>
          <w:trHeight w:hRule="exact" w:val="274"/>
          <w:jc w:val="center"/>
        </w:trPr>
        <w:tc>
          <w:tcPr>
            <w:tcW w:w="4248" w:type="dxa"/>
            <w:shd w:val="clear" w:color="auto" w:fill="FF0000"/>
            <w:vAlign w:val="center"/>
          </w:tcPr>
          <w:p w14:paraId="6A97134E" w14:textId="77777777" w:rsidR="000922CD" w:rsidRPr="005550C6" w:rsidRDefault="000922CD" w:rsidP="00A53E7F">
            <w:pPr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left="102"/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Key</w:t>
            </w:r>
            <w:r w:rsidRPr="005550C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Event</w:t>
            </w:r>
          </w:p>
        </w:tc>
        <w:tc>
          <w:tcPr>
            <w:tcW w:w="2984" w:type="dxa"/>
            <w:shd w:val="clear" w:color="auto" w:fill="FF0000"/>
            <w:vAlign w:val="center"/>
          </w:tcPr>
          <w:p w14:paraId="40CC8F26" w14:textId="77777777" w:rsidR="000922CD" w:rsidRPr="005550C6" w:rsidRDefault="000922CD" w:rsidP="00F11894">
            <w:pPr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left="102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Year 11</w:t>
            </w:r>
          </w:p>
        </w:tc>
        <w:tc>
          <w:tcPr>
            <w:tcW w:w="2984" w:type="dxa"/>
            <w:shd w:val="clear" w:color="auto" w:fill="FF0000"/>
            <w:vAlign w:val="center"/>
          </w:tcPr>
          <w:p w14:paraId="029C694B" w14:textId="77777777" w:rsidR="000922CD" w:rsidRPr="005550C6" w:rsidRDefault="000922CD" w:rsidP="00F11894">
            <w:pPr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left="102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Year 12</w:t>
            </w:r>
          </w:p>
        </w:tc>
      </w:tr>
      <w:tr w:rsidR="000922CD" w:rsidRPr="005550C6" w14:paraId="7B98B898" w14:textId="77777777" w:rsidTr="00D930F4">
        <w:trPr>
          <w:trHeight w:val="113"/>
          <w:jc w:val="center"/>
        </w:trPr>
        <w:tc>
          <w:tcPr>
            <w:tcW w:w="4248" w:type="dxa"/>
            <w:vAlign w:val="center"/>
          </w:tcPr>
          <w:p w14:paraId="6CC44FBF" w14:textId="4F195AC6" w:rsidR="000922CD" w:rsidRPr="005550C6" w:rsidRDefault="000922CD" w:rsidP="002A4B30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Appeals on exams close</w:t>
            </w:r>
            <w:r w:rsidR="002A4B30"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vAlign w:val="center"/>
          </w:tcPr>
          <w:p w14:paraId="42345669" w14:textId="7AC98299" w:rsidR="000922CD" w:rsidRPr="00CE564B" w:rsidRDefault="00D7599F" w:rsidP="002A4B30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</w:pPr>
            <w:r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3C50E3"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 xml:space="preserve">6 </w:t>
            </w:r>
            <w:r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November (</w:t>
            </w:r>
            <w:r w:rsidR="00522181"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9a</w:t>
            </w:r>
            <w:r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m)</w:t>
            </w:r>
            <w:r w:rsidR="00F62207"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br/>
            </w:r>
            <w:r w:rsidR="002A4B30"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(5 days fro</w:t>
            </w:r>
            <w:r w:rsidR="00F62207"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m p</w:t>
            </w:r>
            <w:r w:rsidR="002A4B30" w:rsidRPr="00CE564B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ublication)</w:t>
            </w:r>
          </w:p>
        </w:tc>
        <w:tc>
          <w:tcPr>
            <w:tcW w:w="2984" w:type="dxa"/>
            <w:vAlign w:val="center"/>
          </w:tcPr>
          <w:p w14:paraId="6CE3D614" w14:textId="57EB9222" w:rsidR="000922CD" w:rsidRPr="006E74CD" w:rsidRDefault="004A64AB" w:rsidP="00AC106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jc w:val="center"/>
              <w:rPr>
                <w:rFonts w:asciiTheme="majorHAnsi" w:hAnsiTheme="majorHAnsi" w:cstheme="majorHAnsi"/>
                <w:bCs/>
                <w:iCs/>
                <w:color w:val="EE0000"/>
                <w:sz w:val="24"/>
                <w:szCs w:val="24"/>
              </w:rPr>
            </w:pPr>
            <w:r w:rsidRPr="00CE2499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957B6C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Pr="00CE2499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 xml:space="preserve"> November (3pm)</w:t>
            </w:r>
            <w:r w:rsidR="00F62207" w:rsidRPr="00CE2499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br/>
            </w:r>
            <w:r w:rsidR="002A4B30" w:rsidRPr="00CE2499">
              <w:rPr>
                <w:rFonts w:asciiTheme="majorHAnsi" w:hAnsiTheme="majorHAnsi" w:cstheme="majorHAnsi"/>
                <w:bCs/>
                <w:iCs/>
                <w:color w:val="000000" w:themeColor="text1"/>
                <w:sz w:val="24"/>
                <w:szCs w:val="24"/>
              </w:rPr>
              <w:t>(2 days from publication)</w:t>
            </w:r>
          </w:p>
        </w:tc>
      </w:tr>
      <w:tr w:rsidR="00F62207" w:rsidRPr="005550C6" w14:paraId="6446056A" w14:textId="77777777" w:rsidTr="00D930F4">
        <w:trPr>
          <w:trHeight w:val="113"/>
          <w:jc w:val="center"/>
        </w:trPr>
        <w:tc>
          <w:tcPr>
            <w:tcW w:w="4248" w:type="dxa"/>
            <w:vAlign w:val="center"/>
          </w:tcPr>
          <w:p w14:paraId="2CEE9ED3" w14:textId="732592E5" w:rsidR="00F62207" w:rsidRPr="005550C6" w:rsidRDefault="00F62207" w:rsidP="002A4B30">
            <w:pPr>
              <w:kinsoku w:val="0"/>
              <w:overflowPunct w:val="0"/>
              <w:autoSpaceDE w:val="0"/>
              <w:autoSpaceDN w:val="0"/>
              <w:adjustRightInd w:val="0"/>
              <w:ind w:left="102" w:right="386"/>
              <w:rPr>
                <w:rFonts w:asciiTheme="majorHAnsi" w:hAnsiTheme="majorHAnsi" w:cstheme="majorHAnsi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spacing w:val="-1"/>
                <w:sz w:val="24"/>
                <w:szCs w:val="24"/>
              </w:rPr>
              <w:t>Unit</w:t>
            </w:r>
            <w:r w:rsidRPr="005550C6">
              <w:rPr>
                <w:rFonts w:asciiTheme="majorHAnsi" w:hAnsiTheme="majorHAnsi" w:cstheme="majorHAnsi"/>
                <w:iCs/>
                <w:spacing w:val="-8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pacing w:val="-1"/>
                <w:sz w:val="24"/>
                <w:szCs w:val="24"/>
              </w:rPr>
              <w:t>Score</w:t>
            </w:r>
            <w:r w:rsidRPr="005550C6">
              <w:rPr>
                <w:rFonts w:asciiTheme="majorHAnsi" w:hAnsiTheme="majorHAnsi" w:cstheme="majorHAnsi"/>
                <w:iCs/>
                <w:spacing w:val="-7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Publication on BSSS Student Profiles Online</w:t>
            </w:r>
            <w:r w:rsidRPr="005550C6">
              <w:rPr>
                <w:rFonts w:asciiTheme="majorHAnsi" w:hAnsiTheme="majorHAnsi" w:cstheme="majorHAnsi"/>
                <w:iCs/>
                <w:spacing w:val="-9"/>
                <w:sz w:val="24"/>
                <w:szCs w:val="24"/>
              </w:rPr>
              <w:br/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Appeal</w:t>
            </w:r>
            <w:r w:rsidRPr="005550C6">
              <w:rPr>
                <w:rFonts w:asciiTheme="majorHAnsi" w:hAnsiTheme="majorHAnsi" w:cstheme="majorHAnsi"/>
                <w:iCs/>
                <w:spacing w:val="-13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period</w:t>
            </w:r>
            <w:r w:rsidRPr="005550C6">
              <w:rPr>
                <w:rFonts w:asciiTheme="majorHAnsi" w:hAnsiTheme="majorHAnsi" w:cstheme="majorHAnsi"/>
                <w:iCs/>
                <w:spacing w:val="-12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commences</w:t>
            </w:r>
          </w:p>
        </w:tc>
        <w:tc>
          <w:tcPr>
            <w:tcW w:w="2984" w:type="dxa"/>
            <w:vAlign w:val="center"/>
          </w:tcPr>
          <w:p w14:paraId="1B62CB00" w14:textId="685435C2" w:rsidR="00F62207" w:rsidRPr="00CE564B" w:rsidRDefault="00BF3112" w:rsidP="008660B7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CE564B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2</w:t>
            </w:r>
            <w:r w:rsidR="00F876A0" w:rsidRPr="00CE564B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6 </w:t>
            </w:r>
            <w:r w:rsidRPr="00CE564B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November (4pm)</w:t>
            </w:r>
          </w:p>
        </w:tc>
        <w:tc>
          <w:tcPr>
            <w:tcW w:w="2984" w:type="dxa"/>
            <w:vAlign w:val="center"/>
          </w:tcPr>
          <w:p w14:paraId="4C158219" w14:textId="77777777" w:rsidR="001F32F1" w:rsidRPr="00E949DF" w:rsidRDefault="001F32F1" w:rsidP="008660B7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E949DF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Tueday </w:t>
            </w:r>
          </w:p>
          <w:p w14:paraId="594FC504" w14:textId="58C3014B" w:rsidR="00F62207" w:rsidRPr="00E949DF" w:rsidRDefault="001B5B60" w:rsidP="008660B7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E949DF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2</w:t>
            </w:r>
            <w:r w:rsidR="001F32F1" w:rsidRPr="00E949DF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5 </w:t>
            </w:r>
            <w:r w:rsidRPr="00E949DF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November (3pm)</w:t>
            </w:r>
          </w:p>
        </w:tc>
      </w:tr>
      <w:tr w:rsidR="008660B7" w:rsidRPr="005550C6" w14:paraId="43849B77" w14:textId="77777777" w:rsidTr="00D930F4">
        <w:trPr>
          <w:trHeight w:val="113"/>
          <w:jc w:val="center"/>
        </w:trPr>
        <w:tc>
          <w:tcPr>
            <w:tcW w:w="4248" w:type="dxa"/>
            <w:vAlign w:val="center"/>
          </w:tcPr>
          <w:p w14:paraId="6D4AA0FA" w14:textId="77777777" w:rsidR="008660B7" w:rsidRPr="005550C6" w:rsidRDefault="008660B7" w:rsidP="008660B7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Appeals</w:t>
            </w:r>
            <w:r w:rsidRPr="005550C6">
              <w:rPr>
                <w:rFonts w:asciiTheme="majorHAnsi" w:hAnsiTheme="majorHAnsi" w:cstheme="majorHAnsi"/>
                <w:iCs/>
                <w:spacing w:val="-7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on</w:t>
            </w:r>
            <w:r w:rsidRPr="005550C6">
              <w:rPr>
                <w:rFonts w:asciiTheme="majorHAnsi" w:hAnsiTheme="majorHAnsi" w:cstheme="majorHAnsi"/>
                <w:iCs/>
                <w:spacing w:val="-6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Unit</w:t>
            </w:r>
            <w:r w:rsidRPr="005550C6">
              <w:rPr>
                <w:rFonts w:asciiTheme="majorHAnsi" w:hAnsiTheme="majorHAnsi" w:cstheme="majorHAnsi"/>
                <w:iCs/>
                <w:spacing w:val="-7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pacing w:val="-1"/>
                <w:sz w:val="24"/>
                <w:szCs w:val="24"/>
              </w:rPr>
              <w:t>Scores</w:t>
            </w:r>
            <w:r w:rsidRPr="005550C6">
              <w:rPr>
                <w:rFonts w:asciiTheme="majorHAnsi" w:hAnsiTheme="majorHAnsi" w:cstheme="majorHAnsi"/>
                <w:iCs/>
                <w:spacing w:val="-6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pacing w:val="-1"/>
                <w:sz w:val="24"/>
                <w:szCs w:val="24"/>
              </w:rPr>
              <w:t>close</w:t>
            </w:r>
          </w:p>
        </w:tc>
        <w:tc>
          <w:tcPr>
            <w:tcW w:w="2984" w:type="dxa"/>
            <w:vAlign w:val="center"/>
          </w:tcPr>
          <w:p w14:paraId="29330D7E" w14:textId="60FDA80B" w:rsidR="00873073" w:rsidRPr="00CE564B" w:rsidRDefault="00F876A0" w:rsidP="002A4B30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</w:pPr>
            <w:r w:rsidRPr="00CE564B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3</w:t>
            </w:r>
            <w:r w:rsidR="00873073" w:rsidRPr="00CE564B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 xml:space="preserve"> December (4pm)</w:t>
            </w:r>
          </w:p>
          <w:p w14:paraId="630E7F1E" w14:textId="593D8C0F" w:rsidR="004A15F2" w:rsidRPr="00CE564B" w:rsidRDefault="004A15F2" w:rsidP="002A4B30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</w:pPr>
            <w:r w:rsidRPr="00CE564B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(5 days from publication)</w:t>
            </w:r>
          </w:p>
        </w:tc>
        <w:tc>
          <w:tcPr>
            <w:tcW w:w="2984" w:type="dxa"/>
            <w:vAlign w:val="center"/>
          </w:tcPr>
          <w:p w14:paraId="4412B28B" w14:textId="31FAD722" w:rsidR="001B5B60" w:rsidRPr="00E949DF" w:rsidRDefault="001B5B60" w:rsidP="002A4B30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</w:pPr>
            <w:r w:rsidRPr="00E949DF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2</w:t>
            </w:r>
            <w:r w:rsidR="00336C79" w:rsidRPr="00E949DF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 xml:space="preserve">7 </w:t>
            </w:r>
            <w:r w:rsidRPr="00E949DF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>November (3pm)</w:t>
            </w:r>
          </w:p>
          <w:p w14:paraId="3E2F9C1B" w14:textId="79476C4D" w:rsidR="005550C6" w:rsidRPr="00E949DF" w:rsidRDefault="005550C6" w:rsidP="002A4B30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</w:pPr>
            <w:r w:rsidRPr="00E949DF">
              <w:rPr>
                <w:rFonts w:asciiTheme="majorHAnsi" w:hAnsiTheme="majorHAnsi" w:cstheme="majorHAnsi"/>
                <w:bCs/>
                <w:color w:val="000000" w:themeColor="text1"/>
                <w:spacing w:val="-10"/>
                <w:sz w:val="24"/>
                <w:szCs w:val="24"/>
              </w:rPr>
              <w:t xml:space="preserve">(2 days from publication) </w:t>
            </w:r>
          </w:p>
        </w:tc>
      </w:tr>
    </w:tbl>
    <w:p w14:paraId="069AB25C" w14:textId="5CC7C5B6" w:rsidR="00D930F4" w:rsidRPr="005550C6" w:rsidRDefault="00D930F4" w:rsidP="002A4B30">
      <w:pPr>
        <w:tabs>
          <w:tab w:val="left" w:pos="4361"/>
          <w:tab w:val="left" w:pos="7345"/>
        </w:tabs>
        <w:kinsoku w:val="0"/>
        <w:overflowPunct w:val="0"/>
        <w:autoSpaceDE w:val="0"/>
        <w:autoSpaceDN w:val="0"/>
        <w:adjustRightInd w:val="0"/>
        <w:ind w:left="113"/>
        <w:rPr>
          <w:rFonts w:asciiTheme="majorHAnsi" w:hAnsiTheme="majorHAnsi" w:cstheme="majorHAnsi"/>
          <w:bCs/>
          <w:spacing w:val="-10"/>
          <w:sz w:val="24"/>
          <w:szCs w:val="24"/>
        </w:rPr>
      </w:pPr>
      <w:r w:rsidRPr="005550C6">
        <w:rPr>
          <w:rFonts w:asciiTheme="majorHAnsi" w:hAnsiTheme="majorHAnsi" w:cstheme="majorHAnsi"/>
          <w:b/>
          <w:bCs/>
          <w:iCs/>
          <w:sz w:val="24"/>
          <w:szCs w:val="24"/>
        </w:rPr>
        <w:tab/>
      </w:r>
      <w:r w:rsidRPr="005550C6">
        <w:rPr>
          <w:rFonts w:asciiTheme="majorHAnsi" w:hAnsiTheme="majorHAnsi" w:cstheme="majorHAnsi"/>
          <w:spacing w:val="-10"/>
          <w:sz w:val="24"/>
          <w:szCs w:val="24"/>
        </w:rPr>
        <w:tab/>
      </w:r>
    </w:p>
    <w:tbl>
      <w:tblPr>
        <w:tblStyle w:val="GridTable1Light-Accent1"/>
        <w:tblW w:w="0" w:type="auto"/>
        <w:jc w:val="center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827"/>
      </w:tblGrid>
      <w:tr w:rsidR="003D383F" w:rsidRPr="005550C6" w14:paraId="50BE5558" w14:textId="77777777" w:rsidTr="003D383F">
        <w:trPr>
          <w:trHeight w:val="113"/>
          <w:jc w:val="center"/>
        </w:trPr>
        <w:tc>
          <w:tcPr>
            <w:tcW w:w="6374" w:type="dxa"/>
            <w:shd w:val="clear" w:color="auto" w:fill="002060"/>
            <w:vAlign w:val="center"/>
          </w:tcPr>
          <w:p w14:paraId="56B133A9" w14:textId="77777777" w:rsidR="003D383F" w:rsidRPr="005550C6" w:rsidRDefault="003D383F" w:rsidP="00FE7202">
            <w:pPr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left="102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Year 12 Specific dates</w:t>
            </w:r>
          </w:p>
        </w:tc>
        <w:tc>
          <w:tcPr>
            <w:tcW w:w="3827" w:type="dxa"/>
            <w:shd w:val="clear" w:color="auto" w:fill="002060"/>
            <w:vAlign w:val="center"/>
          </w:tcPr>
          <w:p w14:paraId="4CBEDA02" w14:textId="3C4D0585" w:rsidR="003D383F" w:rsidRPr="005550C6" w:rsidRDefault="003D383F" w:rsidP="00FE7202">
            <w:pPr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left="102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</w:pPr>
          </w:p>
        </w:tc>
      </w:tr>
      <w:tr w:rsidR="003D383F" w:rsidRPr="005550C6" w14:paraId="12373690" w14:textId="77777777" w:rsidTr="003D383F">
        <w:trPr>
          <w:trHeight w:val="113"/>
          <w:jc w:val="center"/>
        </w:trPr>
        <w:tc>
          <w:tcPr>
            <w:tcW w:w="6374" w:type="dxa"/>
            <w:vAlign w:val="center"/>
          </w:tcPr>
          <w:p w14:paraId="514CEE09" w14:textId="76E6AB13" w:rsidR="003D383F" w:rsidRPr="005550C6" w:rsidRDefault="003D383F" w:rsidP="008660B7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Course</w:t>
            </w:r>
            <w:r w:rsidRPr="005550C6">
              <w:rPr>
                <w:rFonts w:asciiTheme="majorHAnsi" w:hAnsiTheme="majorHAnsi" w:cstheme="majorHAnsi"/>
                <w:iCs/>
                <w:spacing w:val="-9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pacing w:val="-1"/>
                <w:sz w:val="24"/>
                <w:szCs w:val="24"/>
              </w:rPr>
              <w:t>Score</w:t>
            </w:r>
            <w:r w:rsidRPr="005550C6">
              <w:rPr>
                <w:rFonts w:asciiTheme="majorHAnsi" w:hAnsiTheme="majorHAnsi" w:cstheme="majorHAnsi"/>
                <w:iCs/>
                <w:spacing w:val="-9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Publication on BSSS Student Profiles Online;</w:t>
            </w:r>
            <w:r w:rsidRPr="005550C6">
              <w:rPr>
                <w:rFonts w:asciiTheme="majorHAnsi" w:hAnsiTheme="majorHAnsi" w:cstheme="majorHAnsi"/>
                <w:iCs/>
                <w:spacing w:val="-9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Appeal</w:t>
            </w:r>
            <w:r w:rsidRPr="005550C6">
              <w:rPr>
                <w:rFonts w:asciiTheme="majorHAnsi" w:hAnsiTheme="majorHAnsi" w:cstheme="majorHAnsi"/>
                <w:iCs/>
                <w:spacing w:val="-13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period</w:t>
            </w:r>
            <w:r w:rsidRPr="005550C6">
              <w:rPr>
                <w:rFonts w:asciiTheme="majorHAnsi" w:hAnsiTheme="majorHAnsi" w:cstheme="majorHAnsi"/>
                <w:iCs/>
                <w:spacing w:val="-12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commences</w:t>
            </w:r>
          </w:p>
        </w:tc>
        <w:tc>
          <w:tcPr>
            <w:tcW w:w="3827" w:type="dxa"/>
            <w:vAlign w:val="center"/>
          </w:tcPr>
          <w:p w14:paraId="3D6CCE68" w14:textId="5E43CF1F" w:rsidR="003D383F" w:rsidRPr="00321E38" w:rsidRDefault="008761A3" w:rsidP="002A4B3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321E38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2</w:t>
            </w:r>
            <w:r w:rsidR="00321E38" w:rsidRPr="00321E38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7</w:t>
            </w:r>
            <w:r w:rsidRPr="00321E38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November (4pm)</w:t>
            </w:r>
          </w:p>
        </w:tc>
      </w:tr>
      <w:tr w:rsidR="003D383F" w:rsidRPr="005550C6" w14:paraId="738E0556" w14:textId="77777777" w:rsidTr="003D383F">
        <w:trPr>
          <w:trHeight w:val="113"/>
          <w:jc w:val="center"/>
        </w:trPr>
        <w:tc>
          <w:tcPr>
            <w:tcW w:w="6374" w:type="dxa"/>
            <w:vAlign w:val="center"/>
          </w:tcPr>
          <w:p w14:paraId="6B34F06D" w14:textId="77777777" w:rsidR="003D383F" w:rsidRPr="005550C6" w:rsidRDefault="003D383F" w:rsidP="008660B7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Appeals</w:t>
            </w:r>
            <w:r w:rsidRPr="005550C6">
              <w:rPr>
                <w:rFonts w:asciiTheme="majorHAnsi" w:hAnsiTheme="majorHAnsi" w:cstheme="majorHAnsi"/>
                <w:iCs/>
                <w:spacing w:val="-8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on</w:t>
            </w:r>
            <w:r w:rsidRPr="005550C6">
              <w:rPr>
                <w:rFonts w:asciiTheme="majorHAnsi" w:hAnsiTheme="majorHAnsi" w:cstheme="majorHAnsi"/>
                <w:iCs/>
                <w:spacing w:val="-7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Course</w:t>
            </w:r>
            <w:r w:rsidRPr="005550C6">
              <w:rPr>
                <w:rFonts w:asciiTheme="majorHAnsi" w:hAnsiTheme="majorHAnsi" w:cstheme="majorHAnsi"/>
                <w:iCs/>
                <w:spacing w:val="-7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pacing w:val="-1"/>
                <w:sz w:val="24"/>
                <w:szCs w:val="24"/>
              </w:rPr>
              <w:t>Scores</w:t>
            </w:r>
            <w:r w:rsidRPr="005550C6">
              <w:rPr>
                <w:rFonts w:asciiTheme="majorHAnsi" w:hAnsiTheme="majorHAnsi" w:cstheme="majorHAnsi"/>
                <w:iCs/>
                <w:spacing w:val="-7"/>
                <w:sz w:val="24"/>
                <w:szCs w:val="24"/>
              </w:rPr>
              <w:t xml:space="preserve"> </w:t>
            </w: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close</w:t>
            </w:r>
          </w:p>
        </w:tc>
        <w:tc>
          <w:tcPr>
            <w:tcW w:w="3827" w:type="dxa"/>
            <w:vAlign w:val="center"/>
          </w:tcPr>
          <w:p w14:paraId="1F973ED1" w14:textId="0E0E58D8" w:rsidR="008761A3" w:rsidRPr="00321E38" w:rsidRDefault="008761A3" w:rsidP="002A4B30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321E38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2</w:t>
            </w:r>
            <w:r w:rsidR="00321E38" w:rsidRPr="00321E38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8</w:t>
            </w:r>
            <w:r w:rsidRPr="00321E38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November (4pm) </w:t>
            </w:r>
          </w:p>
          <w:p w14:paraId="1EC7D6F4" w14:textId="0EFD1EE7" w:rsidR="005550C6" w:rsidRPr="00321E38" w:rsidRDefault="005550C6" w:rsidP="002A4B30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</w:pPr>
            <w:r w:rsidRPr="00321E38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(1 day from publication)</w:t>
            </w:r>
          </w:p>
        </w:tc>
      </w:tr>
      <w:tr w:rsidR="003D383F" w:rsidRPr="005550C6" w14:paraId="4828B1F3" w14:textId="77777777" w:rsidTr="003D383F">
        <w:trPr>
          <w:trHeight w:val="113"/>
          <w:jc w:val="center"/>
        </w:trPr>
        <w:tc>
          <w:tcPr>
            <w:tcW w:w="6374" w:type="dxa"/>
            <w:vAlign w:val="center"/>
          </w:tcPr>
          <w:p w14:paraId="2A6FA503" w14:textId="53261B58" w:rsidR="003D383F" w:rsidRPr="005550C6" w:rsidRDefault="00670E58" w:rsidP="00670E58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iCs/>
                <w:sz w:val="24"/>
                <w:szCs w:val="24"/>
              </w:rPr>
              <w:t>ATARs available on BSSS Profiles Online</w:t>
            </w:r>
            <w:r w:rsidRPr="005550C6">
              <w:rPr>
                <w:rFonts w:asciiTheme="majorHAnsi" w:hAnsiTheme="majorHAnsi" w:cstheme="majorHAnsi"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E290EC7" w14:textId="0E626DBB" w:rsidR="003D383F" w:rsidRPr="001D4731" w:rsidRDefault="004A64AB" w:rsidP="003D383F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rPr>
                <w:rFonts w:asciiTheme="majorHAnsi" w:hAnsiTheme="majorHAnsi" w:cstheme="majorHAnsi"/>
                <w:color w:val="EE0000"/>
                <w:spacing w:val="-10"/>
                <w:sz w:val="24"/>
                <w:szCs w:val="24"/>
              </w:rPr>
            </w:pPr>
            <w:r w:rsidRPr="001D4731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921A1D" w:rsidRPr="001D4731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6</w:t>
            </w:r>
            <w:r w:rsidRPr="001D4731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December</w:t>
            </w:r>
            <w:r w:rsidR="00562B16" w:rsidRPr="001D4731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(</w:t>
            </w:r>
            <w:r w:rsidR="001D4731" w:rsidRPr="001D4731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9am</w:t>
            </w:r>
            <w:r w:rsidR="00562B16" w:rsidRPr="001D4731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>)</w:t>
            </w:r>
            <w:r w:rsidR="001D4731">
              <w:rPr>
                <w:rFonts w:asciiTheme="majorHAnsi" w:hAnsiTheme="majorHAnsi" w:cstheme="maj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1D4731" w:rsidRPr="001D4731">
              <w:rPr>
                <w:rFonts w:asciiTheme="majorHAnsi" w:hAnsiTheme="majorHAnsi" w:cstheme="majorHAnsi"/>
                <w:i/>
                <w:iCs/>
                <w:color w:val="000000" w:themeColor="text1"/>
                <w:spacing w:val="-10"/>
                <w:sz w:val="24"/>
                <w:szCs w:val="24"/>
              </w:rPr>
              <w:t>Pending Confirmation</w:t>
            </w:r>
            <w:r w:rsidR="001D4731">
              <w:rPr>
                <w:rFonts w:asciiTheme="majorHAnsi" w:hAnsiTheme="majorHAnsi" w:cstheme="majorHAnsi"/>
                <w:i/>
                <w:iCs/>
                <w:color w:val="000000" w:themeColor="text1"/>
                <w:spacing w:val="-10"/>
                <w:sz w:val="24"/>
                <w:szCs w:val="24"/>
              </w:rPr>
              <w:t xml:space="preserve"> from BSSS</w:t>
            </w:r>
          </w:p>
        </w:tc>
      </w:tr>
      <w:tr w:rsidR="003D383F" w:rsidRPr="005550C6" w14:paraId="5BB37323" w14:textId="77777777" w:rsidTr="00FE7202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BDEFBF8" w14:textId="77777777" w:rsidR="00670E58" w:rsidRPr="005550C6" w:rsidRDefault="00670E58" w:rsidP="00670E58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b w:val="0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 w:val="0"/>
                <w:bCs w:val="0"/>
                <w:iCs/>
                <w:color w:val="2F5496" w:themeColor="accent5" w:themeShade="BF"/>
                <w:sz w:val="24"/>
                <w:szCs w:val="24"/>
              </w:rPr>
              <w:t>Collection of Year 12 certification certificates from JPC</w:t>
            </w:r>
          </w:p>
          <w:p w14:paraId="0DEB3BB7" w14:textId="2CD4421F" w:rsidR="003D383F" w:rsidRPr="005550C6" w:rsidRDefault="008D06E5" w:rsidP="00670E58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Theme="majorHAnsi" w:hAnsiTheme="majorHAnsi" w:cstheme="majorHAnsi"/>
                <w:b w:val="0"/>
                <w:bCs w:val="0"/>
                <w:iCs/>
                <w:sz w:val="24"/>
                <w:szCs w:val="24"/>
              </w:rPr>
            </w:pPr>
            <w:r w:rsidRPr="005550C6">
              <w:rPr>
                <w:rFonts w:asciiTheme="majorHAnsi" w:hAnsiTheme="majorHAnsi" w:cstheme="majorHAnsi"/>
                <w:b w:val="0"/>
                <w:bCs w:val="0"/>
                <w:iCs/>
                <w:color w:val="C00000"/>
                <w:sz w:val="24"/>
                <w:szCs w:val="24"/>
              </w:rPr>
              <w:t>C</w:t>
            </w:r>
            <w:r w:rsidR="00670E58" w:rsidRPr="005550C6">
              <w:rPr>
                <w:rFonts w:asciiTheme="majorHAnsi" w:hAnsiTheme="majorHAnsi" w:cstheme="majorHAnsi"/>
                <w:b w:val="0"/>
                <w:bCs w:val="0"/>
                <w:iCs/>
                <w:color w:val="C00000"/>
                <w:sz w:val="24"/>
                <w:szCs w:val="24"/>
              </w:rPr>
              <w:t>ompulsory</w:t>
            </w:r>
            <w:r>
              <w:rPr>
                <w:rFonts w:asciiTheme="majorHAnsi" w:hAnsiTheme="majorHAnsi" w:cstheme="majorHAnsi"/>
                <w:b w:val="0"/>
                <w:bCs w:val="0"/>
                <w:iCs/>
                <w:color w:val="C00000"/>
                <w:sz w:val="24"/>
                <w:szCs w:val="24"/>
              </w:rPr>
              <w:t>- Please see note below</w:t>
            </w:r>
            <w:r w:rsidR="00AC1062">
              <w:rPr>
                <w:rFonts w:asciiTheme="majorHAnsi" w:hAnsiTheme="majorHAnsi" w:cstheme="majorHAnsi"/>
                <w:b w:val="0"/>
                <w:bCs w:val="0"/>
                <w:iCs/>
                <w:color w:val="C00000"/>
                <w:sz w:val="24"/>
                <w:szCs w:val="24"/>
              </w:rPr>
              <w:t>**</w:t>
            </w:r>
            <w:r>
              <w:rPr>
                <w:rFonts w:asciiTheme="majorHAnsi" w:hAnsiTheme="majorHAnsi" w:cstheme="majorHAnsi"/>
                <w:b w:val="0"/>
                <w:bCs w:val="0"/>
                <w:i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0E39D52A" w14:textId="29071368" w:rsidR="003D383F" w:rsidRPr="006E74CD" w:rsidRDefault="004A64AB" w:rsidP="00FE7202">
            <w:pPr>
              <w:kinsoku w:val="0"/>
              <w:overflowPunct w:val="0"/>
              <w:autoSpaceDE w:val="0"/>
              <w:autoSpaceDN w:val="0"/>
              <w:adjustRightInd w:val="0"/>
              <w:ind w:left="595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EE0000"/>
                <w:sz w:val="24"/>
                <w:szCs w:val="24"/>
              </w:rPr>
            </w:pPr>
            <w:r w:rsidRPr="00562B1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1</w:t>
            </w:r>
            <w:r w:rsidR="00974375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7</w:t>
            </w:r>
            <w:r w:rsidRPr="00562B1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December (</w:t>
            </w:r>
            <w:r w:rsidR="00562B16" w:rsidRPr="00562B1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9a</w:t>
            </w:r>
            <w:r w:rsidRPr="00562B1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m-</w:t>
            </w:r>
            <w:r w:rsidR="00562B16" w:rsidRPr="00562B1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11a</w:t>
            </w:r>
            <w:r w:rsidRPr="00562B16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m)</w:t>
            </w:r>
          </w:p>
        </w:tc>
      </w:tr>
    </w:tbl>
    <w:p w14:paraId="5C3F7FF5" w14:textId="77777777" w:rsidR="000922CD" w:rsidRPr="005550C6" w:rsidRDefault="000922CD" w:rsidP="000922C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18770B8" w14:textId="4E2B0F3D" w:rsidR="00E4165F" w:rsidRPr="005550C6" w:rsidRDefault="000922CD" w:rsidP="00E416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Appeals only take place after all avenues of review within the </w:t>
      </w:r>
      <w:r w:rsidR="00E4165F" w:rsidRPr="005550C6">
        <w:rPr>
          <w:rFonts w:asciiTheme="majorHAnsi" w:hAnsiTheme="majorHAnsi" w:cstheme="majorHAnsi"/>
          <w:color w:val="000000"/>
          <w:sz w:val="24"/>
          <w:szCs w:val="24"/>
        </w:rPr>
        <w:t>Faculty</w:t>
      </w:r>
      <w:r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have been exhausted. Timeframes are strictly adhered to. 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Refer to Senior Studies </w:t>
      </w:r>
      <w:r w:rsidR="00753706">
        <w:rPr>
          <w:rFonts w:asciiTheme="majorHAnsi" w:hAnsiTheme="majorHAnsi" w:cstheme="majorHAnsi"/>
          <w:color w:val="000000"/>
          <w:sz w:val="24"/>
          <w:szCs w:val="24"/>
        </w:rPr>
        <w:t>Canvas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page for the </w:t>
      </w:r>
      <w:r w:rsidR="00BB288D" w:rsidRPr="005550C6">
        <w:rPr>
          <w:rFonts w:asciiTheme="majorHAnsi" w:hAnsiTheme="majorHAnsi" w:cstheme="majorHAnsi"/>
          <w:color w:val="000000"/>
          <w:sz w:val="24"/>
          <w:szCs w:val="24"/>
        </w:rPr>
        <w:t>‘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>Senior Assessment Policy</w:t>
      </w:r>
      <w:r w:rsidR="00BB288D" w:rsidRPr="005550C6">
        <w:rPr>
          <w:rFonts w:asciiTheme="majorHAnsi" w:hAnsiTheme="majorHAnsi" w:cstheme="majorHAnsi"/>
          <w:color w:val="000000"/>
          <w:sz w:val="24"/>
          <w:szCs w:val="24"/>
        </w:rPr>
        <w:t>’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and the BSSS ‘Your Rights to appeal’</w:t>
      </w:r>
      <w:r w:rsidR="00115233" w:rsidRPr="005550C6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0338FF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hyperlink r:id="rId11" w:history="1">
        <w:r w:rsidR="000338FF" w:rsidRPr="005550C6">
          <w:rPr>
            <w:rStyle w:val="Hyperlink"/>
            <w:rFonts w:asciiTheme="majorHAnsi" w:hAnsiTheme="majorHAnsi" w:cstheme="majorHAnsi"/>
          </w:rPr>
          <w:t>http://www.bsss.act.edu.au/information_for_students/your_rights_to_appeal</w:t>
        </w:r>
      </w:hyperlink>
      <w:r w:rsidR="000338FF" w:rsidRPr="005550C6">
        <w:rPr>
          <w:rFonts w:asciiTheme="majorHAnsi" w:hAnsiTheme="majorHAnsi" w:cstheme="majorHAnsi"/>
          <w:color w:val="000000"/>
        </w:rPr>
        <w:t xml:space="preserve"> </w:t>
      </w:r>
    </w:p>
    <w:p w14:paraId="2CBD75BF" w14:textId="77777777" w:rsidR="00FE7202" w:rsidRPr="005550C6" w:rsidRDefault="00FE7202" w:rsidP="00FE7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1BD6449C" w14:textId="0C71369A" w:rsidR="00723163" w:rsidRPr="005550C6" w:rsidRDefault="00115233" w:rsidP="00723163">
      <w:pPr>
        <w:pStyle w:val="ListParagraph"/>
        <w:numPr>
          <w:ilvl w:val="0"/>
          <w:numId w:val="1"/>
        </w:numPr>
        <w:spacing w:after="0"/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5550C6">
        <w:rPr>
          <w:rFonts w:asciiTheme="majorHAnsi" w:hAnsiTheme="majorHAnsi" w:cstheme="majorHAnsi"/>
          <w:color w:val="000000"/>
          <w:sz w:val="24"/>
          <w:szCs w:val="24"/>
        </w:rPr>
        <w:t>T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>he BSSS will release</w:t>
      </w:r>
      <w:r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student task results,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final </w:t>
      </w:r>
      <w:r w:rsidR="000922CD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Unit 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and Course </w:t>
      </w:r>
      <w:r w:rsidR="000922CD" w:rsidRPr="005550C6">
        <w:rPr>
          <w:rFonts w:asciiTheme="majorHAnsi" w:hAnsiTheme="majorHAnsi" w:cstheme="majorHAnsi"/>
          <w:color w:val="000000"/>
          <w:sz w:val="24"/>
          <w:szCs w:val="24"/>
        </w:rPr>
        <w:t>Scores</w:t>
      </w:r>
      <w:r w:rsidR="0072316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, including ranking and z-scores through each students’ BSSS Profiles Online.  Please ensure that you have access. </w:t>
      </w:r>
      <w:r w:rsidR="000922CD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hyperlink r:id="rId12" w:history="1">
        <w:r w:rsidR="00723163" w:rsidRPr="005550C6">
          <w:rPr>
            <w:rStyle w:val="Hyperlink"/>
            <w:rFonts w:asciiTheme="majorHAnsi" w:hAnsiTheme="majorHAnsi" w:cstheme="majorHAnsi"/>
            <w:sz w:val="24"/>
            <w:szCs w:val="24"/>
          </w:rPr>
          <w:t>http://www.bsss.act.edu.au/information_for_students/profiles_online</w:t>
        </w:r>
      </w:hyperlink>
    </w:p>
    <w:p w14:paraId="3C58E8A5" w14:textId="77777777" w:rsidR="00FE7202" w:rsidRPr="005550C6" w:rsidRDefault="00FE7202" w:rsidP="00FE720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47E1775" w14:textId="7C19152B" w:rsidR="00A66D47" w:rsidRPr="005550C6" w:rsidRDefault="00A23B4F" w:rsidP="00A66D47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550C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ALL </w:t>
      </w:r>
      <w:r w:rsidR="00A66D47" w:rsidRPr="005550C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Year 12 students must pick up their certificates in person. </w:t>
      </w:r>
      <w:r w:rsidR="00A66D47" w:rsidRPr="005550C6">
        <w:rPr>
          <w:rFonts w:asciiTheme="majorHAnsi" w:hAnsiTheme="majorHAnsi" w:cstheme="majorHAnsi"/>
          <w:color w:val="000000"/>
          <w:sz w:val="24"/>
          <w:szCs w:val="24"/>
        </w:rPr>
        <w:t>Written authority by the student n</w:t>
      </w:r>
      <w:r w:rsidR="00115233" w:rsidRPr="005550C6">
        <w:rPr>
          <w:rFonts w:asciiTheme="majorHAnsi" w:hAnsiTheme="majorHAnsi" w:cstheme="majorHAnsi"/>
          <w:color w:val="000000"/>
          <w:sz w:val="24"/>
          <w:szCs w:val="24"/>
        </w:rPr>
        <w:t>aming</w:t>
      </w:r>
      <w:r w:rsidR="00A66D47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a responsible adult to pick up certificates in their absence must be </w:t>
      </w:r>
      <w:r w:rsidR="00115233" w:rsidRPr="005550C6">
        <w:rPr>
          <w:rFonts w:asciiTheme="majorHAnsi" w:hAnsiTheme="majorHAnsi" w:cstheme="majorHAnsi"/>
          <w:b/>
          <w:bCs/>
          <w:color w:val="000000"/>
          <w:sz w:val="24"/>
          <w:szCs w:val="24"/>
        </w:rPr>
        <w:t>personally signed</w:t>
      </w:r>
      <w:r w:rsidR="0011523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15233" w:rsidRPr="005550C6">
        <w:rPr>
          <w:rFonts w:asciiTheme="majorHAnsi" w:hAnsiTheme="majorHAnsi" w:cstheme="majorHAnsi"/>
          <w:b/>
          <w:bCs/>
          <w:color w:val="000000"/>
          <w:sz w:val="24"/>
          <w:szCs w:val="24"/>
        </w:rPr>
        <w:t>by the student</w:t>
      </w:r>
      <w:r w:rsidR="00115233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and given</w:t>
      </w:r>
      <w:r w:rsidR="00A66D47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to </w:t>
      </w:r>
      <w:r w:rsidR="00C43630" w:rsidRPr="005550C6">
        <w:rPr>
          <w:rFonts w:asciiTheme="majorHAnsi" w:hAnsiTheme="majorHAnsi" w:cstheme="majorHAnsi"/>
          <w:color w:val="000000"/>
          <w:sz w:val="24"/>
          <w:szCs w:val="24"/>
        </w:rPr>
        <w:t>Mrs Garvie</w:t>
      </w:r>
      <w:r w:rsidR="00A66D47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E7202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prior to the </w:t>
      </w:r>
      <w:r w:rsidR="00461F2B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House and School </w:t>
      </w:r>
      <w:r w:rsidR="00461F2B" w:rsidRPr="00562B16">
        <w:rPr>
          <w:rFonts w:asciiTheme="majorHAnsi" w:hAnsiTheme="majorHAnsi" w:cstheme="majorHAnsi"/>
          <w:color w:val="000000" w:themeColor="text1"/>
          <w:sz w:val="24"/>
          <w:szCs w:val="24"/>
        </w:rPr>
        <w:t>Farew</w:t>
      </w:r>
      <w:r w:rsidR="006B05A7" w:rsidRPr="00562B16"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="00461F2B" w:rsidRPr="00562B16">
        <w:rPr>
          <w:rFonts w:asciiTheme="majorHAnsi" w:hAnsiTheme="majorHAnsi" w:cstheme="majorHAnsi"/>
          <w:color w:val="000000" w:themeColor="text1"/>
          <w:sz w:val="24"/>
          <w:szCs w:val="24"/>
        </w:rPr>
        <w:t>ll</w:t>
      </w:r>
      <w:r w:rsidR="00FE7202" w:rsidRPr="00562B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on </w:t>
      </w:r>
      <w:r w:rsidR="008F653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</w:t>
      </w:r>
      <w:r w:rsidR="008F653D" w:rsidRPr="008F653D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vertAlign w:val="superscript"/>
        </w:rPr>
        <w:t>th</w:t>
      </w:r>
      <w:r w:rsidR="00FE7202" w:rsidRPr="00562B1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November.</w:t>
      </w:r>
      <w:r w:rsidR="00FE7202" w:rsidRPr="00562B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0740A" w:rsidRPr="00562B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Any </w:t>
      </w:r>
      <w:r w:rsidR="00D0740A" w:rsidRPr="005550C6">
        <w:rPr>
          <w:rFonts w:asciiTheme="majorHAnsi" w:hAnsiTheme="majorHAnsi" w:cstheme="majorHAnsi"/>
          <w:color w:val="000000"/>
          <w:sz w:val="24"/>
          <w:szCs w:val="24"/>
        </w:rPr>
        <w:t>certificates not picked up will be returned to the BSSS in February.</w:t>
      </w:r>
      <w:r w:rsidR="00AC1062">
        <w:rPr>
          <w:rFonts w:asciiTheme="majorHAnsi" w:hAnsiTheme="majorHAnsi" w:cstheme="majorHAnsi"/>
          <w:color w:val="000000"/>
          <w:sz w:val="24"/>
          <w:szCs w:val="24"/>
        </w:rPr>
        <w:t>**</w:t>
      </w:r>
    </w:p>
    <w:p w14:paraId="3E667532" w14:textId="77777777" w:rsidR="00D81E73" w:rsidRPr="005550C6" w:rsidRDefault="00D81E73" w:rsidP="00D81E73">
      <w:pPr>
        <w:pStyle w:val="ListParagraph"/>
        <w:rPr>
          <w:rFonts w:asciiTheme="majorHAnsi" w:hAnsiTheme="majorHAnsi" w:cstheme="majorHAnsi"/>
          <w:color w:val="000000"/>
          <w:sz w:val="24"/>
          <w:szCs w:val="24"/>
        </w:rPr>
      </w:pPr>
    </w:p>
    <w:p w14:paraId="31B9C279" w14:textId="4741FC31" w:rsidR="00D81E73" w:rsidRPr="005550C6" w:rsidRDefault="00D81E73" w:rsidP="00A66D47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550C6">
        <w:rPr>
          <w:rFonts w:asciiTheme="majorHAnsi" w:hAnsiTheme="majorHAnsi" w:cstheme="majorHAnsi"/>
          <w:color w:val="000000"/>
          <w:sz w:val="24"/>
          <w:szCs w:val="24"/>
        </w:rPr>
        <w:t>Students in Year 11 will be issued with an ATAR estimate during Week 1, Term 1, 202</w:t>
      </w:r>
      <w:r w:rsidR="00D2167D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461F2B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If available early these will be emailed through to students, via their school email. </w:t>
      </w:r>
    </w:p>
    <w:p w14:paraId="5833FB1B" w14:textId="77777777" w:rsidR="006F2529" w:rsidRPr="005550C6" w:rsidRDefault="006F2529" w:rsidP="006F2529">
      <w:pPr>
        <w:pStyle w:val="ListParagraph"/>
        <w:rPr>
          <w:rFonts w:asciiTheme="majorHAnsi" w:hAnsiTheme="majorHAnsi" w:cstheme="majorHAnsi"/>
          <w:color w:val="000000"/>
          <w:sz w:val="24"/>
          <w:szCs w:val="24"/>
        </w:rPr>
      </w:pPr>
    </w:p>
    <w:p w14:paraId="46C29BD8" w14:textId="6484C48D" w:rsidR="00085978" w:rsidRPr="0030784A" w:rsidRDefault="006F2529" w:rsidP="00C43630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550C6">
        <w:rPr>
          <w:rFonts w:asciiTheme="majorHAnsi" w:hAnsiTheme="majorHAnsi" w:cstheme="majorHAnsi"/>
          <w:color w:val="000000"/>
          <w:sz w:val="24"/>
          <w:szCs w:val="24"/>
        </w:rPr>
        <w:t>Students in Year 11 wishing to change their subjects or package in 202</w:t>
      </w:r>
      <w:r w:rsidR="00BF01F6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are encouraged to </w:t>
      </w:r>
      <w:r w:rsidR="009731CC" w:rsidRPr="005550C6">
        <w:rPr>
          <w:rFonts w:asciiTheme="majorHAnsi" w:hAnsiTheme="majorHAnsi" w:cstheme="majorHAnsi"/>
          <w:color w:val="000000"/>
          <w:sz w:val="24"/>
          <w:szCs w:val="24"/>
        </w:rPr>
        <w:t>organise a meeting with the Senior Studies</w:t>
      </w:r>
      <w:r w:rsidR="00BF01F6">
        <w:rPr>
          <w:rFonts w:asciiTheme="majorHAnsi" w:hAnsiTheme="majorHAnsi" w:cstheme="majorHAnsi"/>
          <w:color w:val="000000"/>
          <w:sz w:val="24"/>
          <w:szCs w:val="24"/>
        </w:rPr>
        <w:t xml:space="preserve"> Coordinator</w:t>
      </w:r>
      <w:r w:rsidR="009731CC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 during weeks </w:t>
      </w:r>
      <w:r w:rsidR="00D37620">
        <w:rPr>
          <w:rFonts w:asciiTheme="majorHAnsi" w:hAnsiTheme="majorHAnsi" w:cstheme="majorHAnsi"/>
          <w:color w:val="000000"/>
          <w:sz w:val="24"/>
          <w:szCs w:val="24"/>
        </w:rPr>
        <w:t>14 and 15</w:t>
      </w:r>
      <w:r w:rsidR="009731CC" w:rsidRPr="005550C6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sectPr w:rsidR="00085978" w:rsidRPr="0030784A" w:rsidSect="00A53E7F">
      <w:pgSz w:w="11906" w:h="16838" w:code="9"/>
      <w:pgMar w:top="340" w:right="510" w:bottom="249" w:left="51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47C2" w14:textId="77777777" w:rsidR="00782ECD" w:rsidRDefault="00782ECD" w:rsidP="00A66D47">
      <w:pPr>
        <w:spacing w:after="0" w:line="240" w:lineRule="auto"/>
      </w:pPr>
      <w:r>
        <w:separator/>
      </w:r>
    </w:p>
  </w:endnote>
  <w:endnote w:type="continuationSeparator" w:id="0">
    <w:p w14:paraId="6B1763AE" w14:textId="77777777" w:rsidR="00782ECD" w:rsidRDefault="00782ECD" w:rsidP="00A6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3B46" w14:textId="77777777" w:rsidR="00782ECD" w:rsidRDefault="00782ECD" w:rsidP="00A66D47">
      <w:pPr>
        <w:spacing w:after="0" w:line="240" w:lineRule="auto"/>
      </w:pPr>
      <w:r>
        <w:separator/>
      </w:r>
    </w:p>
  </w:footnote>
  <w:footnote w:type="continuationSeparator" w:id="0">
    <w:p w14:paraId="3914D249" w14:textId="77777777" w:rsidR="00782ECD" w:rsidRDefault="00782ECD" w:rsidP="00A6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B5E3A"/>
    <w:multiLevelType w:val="hybridMultilevel"/>
    <w:tmpl w:val="1D4E9B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52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CD"/>
    <w:rsid w:val="000010EE"/>
    <w:rsid w:val="000338FF"/>
    <w:rsid w:val="0006178B"/>
    <w:rsid w:val="00067409"/>
    <w:rsid w:val="00085978"/>
    <w:rsid w:val="000922CD"/>
    <w:rsid w:val="000A709D"/>
    <w:rsid w:val="00115233"/>
    <w:rsid w:val="00153035"/>
    <w:rsid w:val="00193EBC"/>
    <w:rsid w:val="001B5B60"/>
    <w:rsid w:val="001C1C7E"/>
    <w:rsid w:val="001C6E3E"/>
    <w:rsid w:val="001D21B7"/>
    <w:rsid w:val="001D3C3F"/>
    <w:rsid w:val="001D4731"/>
    <w:rsid w:val="001E2BD6"/>
    <w:rsid w:val="001F2E0C"/>
    <w:rsid w:val="001F32F1"/>
    <w:rsid w:val="00242E2A"/>
    <w:rsid w:val="00250A66"/>
    <w:rsid w:val="002A4B30"/>
    <w:rsid w:val="002E154F"/>
    <w:rsid w:val="003009F4"/>
    <w:rsid w:val="0030784A"/>
    <w:rsid w:val="00321E38"/>
    <w:rsid w:val="00325BDA"/>
    <w:rsid w:val="00336C79"/>
    <w:rsid w:val="00342320"/>
    <w:rsid w:val="0034411F"/>
    <w:rsid w:val="00347EA0"/>
    <w:rsid w:val="0039490A"/>
    <w:rsid w:val="003B7AE5"/>
    <w:rsid w:val="003C50E3"/>
    <w:rsid w:val="003D383F"/>
    <w:rsid w:val="00401601"/>
    <w:rsid w:val="004372FA"/>
    <w:rsid w:val="00461F2B"/>
    <w:rsid w:val="004747AA"/>
    <w:rsid w:val="0048070C"/>
    <w:rsid w:val="00480D57"/>
    <w:rsid w:val="00481514"/>
    <w:rsid w:val="004A15F2"/>
    <w:rsid w:val="004A64AB"/>
    <w:rsid w:val="004C31A9"/>
    <w:rsid w:val="004E3091"/>
    <w:rsid w:val="00510EAF"/>
    <w:rsid w:val="00522181"/>
    <w:rsid w:val="00542716"/>
    <w:rsid w:val="005510BF"/>
    <w:rsid w:val="005550C6"/>
    <w:rsid w:val="00562B16"/>
    <w:rsid w:val="00563126"/>
    <w:rsid w:val="005A23F9"/>
    <w:rsid w:val="005D318F"/>
    <w:rsid w:val="006216DB"/>
    <w:rsid w:val="00636374"/>
    <w:rsid w:val="00650F4B"/>
    <w:rsid w:val="00670E58"/>
    <w:rsid w:val="00685B26"/>
    <w:rsid w:val="006B05A7"/>
    <w:rsid w:val="006D4D9D"/>
    <w:rsid w:val="006E69EA"/>
    <w:rsid w:val="006E74CD"/>
    <w:rsid w:val="006F2529"/>
    <w:rsid w:val="00723163"/>
    <w:rsid w:val="0073157E"/>
    <w:rsid w:val="00737D08"/>
    <w:rsid w:val="00753706"/>
    <w:rsid w:val="00761533"/>
    <w:rsid w:val="00782ECD"/>
    <w:rsid w:val="007C1654"/>
    <w:rsid w:val="007D03F0"/>
    <w:rsid w:val="00815384"/>
    <w:rsid w:val="00860662"/>
    <w:rsid w:val="008660B7"/>
    <w:rsid w:val="00873073"/>
    <w:rsid w:val="008761A3"/>
    <w:rsid w:val="008C3A79"/>
    <w:rsid w:val="008C6B12"/>
    <w:rsid w:val="008D06E5"/>
    <w:rsid w:val="008D0BCC"/>
    <w:rsid w:val="008D1673"/>
    <w:rsid w:val="008F653D"/>
    <w:rsid w:val="008F74B8"/>
    <w:rsid w:val="0090287E"/>
    <w:rsid w:val="00903F62"/>
    <w:rsid w:val="00914139"/>
    <w:rsid w:val="00920203"/>
    <w:rsid w:val="00920673"/>
    <w:rsid w:val="00921A1D"/>
    <w:rsid w:val="00931666"/>
    <w:rsid w:val="00944E17"/>
    <w:rsid w:val="00957B6C"/>
    <w:rsid w:val="009731CC"/>
    <w:rsid w:val="00974375"/>
    <w:rsid w:val="00A01248"/>
    <w:rsid w:val="00A0720C"/>
    <w:rsid w:val="00A23B4F"/>
    <w:rsid w:val="00A53E7F"/>
    <w:rsid w:val="00A6577A"/>
    <w:rsid w:val="00A66D47"/>
    <w:rsid w:val="00A71E6E"/>
    <w:rsid w:val="00A765AA"/>
    <w:rsid w:val="00A872F6"/>
    <w:rsid w:val="00AB56B0"/>
    <w:rsid w:val="00AC1062"/>
    <w:rsid w:val="00B06EB9"/>
    <w:rsid w:val="00B24010"/>
    <w:rsid w:val="00B2622C"/>
    <w:rsid w:val="00B44C7D"/>
    <w:rsid w:val="00B7007A"/>
    <w:rsid w:val="00B97394"/>
    <w:rsid w:val="00BB288D"/>
    <w:rsid w:val="00BB3A0A"/>
    <w:rsid w:val="00BC0A91"/>
    <w:rsid w:val="00BC1401"/>
    <w:rsid w:val="00BD260A"/>
    <w:rsid w:val="00BF01F6"/>
    <w:rsid w:val="00BF3112"/>
    <w:rsid w:val="00BF5811"/>
    <w:rsid w:val="00C16ACA"/>
    <w:rsid w:val="00C43630"/>
    <w:rsid w:val="00CE2499"/>
    <w:rsid w:val="00CE564B"/>
    <w:rsid w:val="00D0740A"/>
    <w:rsid w:val="00D2167D"/>
    <w:rsid w:val="00D3100D"/>
    <w:rsid w:val="00D37620"/>
    <w:rsid w:val="00D54571"/>
    <w:rsid w:val="00D7599F"/>
    <w:rsid w:val="00D81E73"/>
    <w:rsid w:val="00D878D3"/>
    <w:rsid w:val="00D930F4"/>
    <w:rsid w:val="00D94A96"/>
    <w:rsid w:val="00DC25BF"/>
    <w:rsid w:val="00DC476C"/>
    <w:rsid w:val="00DD5703"/>
    <w:rsid w:val="00DD775F"/>
    <w:rsid w:val="00E040B1"/>
    <w:rsid w:val="00E23830"/>
    <w:rsid w:val="00E24929"/>
    <w:rsid w:val="00E4165F"/>
    <w:rsid w:val="00E4538D"/>
    <w:rsid w:val="00E76EE9"/>
    <w:rsid w:val="00E949DF"/>
    <w:rsid w:val="00E96CB7"/>
    <w:rsid w:val="00EA5D4E"/>
    <w:rsid w:val="00EB0B37"/>
    <w:rsid w:val="00EB7669"/>
    <w:rsid w:val="00EF59B0"/>
    <w:rsid w:val="00F11894"/>
    <w:rsid w:val="00F12CC8"/>
    <w:rsid w:val="00F43B4B"/>
    <w:rsid w:val="00F478AA"/>
    <w:rsid w:val="00F62207"/>
    <w:rsid w:val="00F72C41"/>
    <w:rsid w:val="00F81F69"/>
    <w:rsid w:val="00F876A0"/>
    <w:rsid w:val="00FA28E6"/>
    <w:rsid w:val="00FB2643"/>
    <w:rsid w:val="00FE7072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6A4B9"/>
  <w15:chartTrackingRefBased/>
  <w15:docId w15:val="{CB5BEDE5-7BBE-4574-A844-F03BDC3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0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D4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D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66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D47"/>
  </w:style>
  <w:style w:type="paragraph" w:styleId="Footer">
    <w:name w:val="footer"/>
    <w:basedOn w:val="Normal"/>
    <w:link w:val="FooterChar"/>
    <w:uiPriority w:val="99"/>
    <w:unhideWhenUsed/>
    <w:rsid w:val="00A66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D47"/>
  </w:style>
  <w:style w:type="table" w:styleId="GridTable1Light-Accent1">
    <w:name w:val="Grid Table 1 Light Accent 1"/>
    <w:basedOn w:val="TableNormal"/>
    <w:uiPriority w:val="46"/>
    <w:rsid w:val="00E040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33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sss.act.edu.au/information_for_students/profiles_onlin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sss.act.edu.au/information_for_students/your_rights_to_appea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AEF06EF248F47A6A755340B6712E1" ma:contentTypeVersion="17" ma:contentTypeDescription="Create a new document." ma:contentTypeScope="" ma:versionID="294a4697e728f34c4bffe6bd784d4351">
  <xsd:schema xmlns:xsd="http://www.w3.org/2001/XMLSchema" xmlns:xs="http://www.w3.org/2001/XMLSchema" xmlns:p="http://schemas.microsoft.com/office/2006/metadata/properties" xmlns:ns2="dd1a8e75-4e50-46a2-bede-d249f55b720a" xmlns:ns3="56d82e4f-1ec8-480b-a401-b34330673ccb" targetNamespace="http://schemas.microsoft.com/office/2006/metadata/properties" ma:root="true" ma:fieldsID="f1bf2436ec16121e855ff8f85d8cea33" ns2:_="" ns3:_="">
    <xsd:import namespace="dd1a8e75-4e50-46a2-bede-d249f55b720a"/>
    <xsd:import namespace="56d82e4f-1ec8-480b-a401-b34330673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8e75-4e50-46a2-bede-d249f55b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72a9c4-a613-481e-8fbb-3bbe30acf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2e4f-1ec8-480b-a401-b3433067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1d5912-8e8d-47a0-b270-abf664a4e8c8}" ma:internalName="TaxCatchAll" ma:showField="CatchAllData" ma:web="56d82e4f-1ec8-480b-a401-b34330673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a8e75-4e50-46a2-bede-d249f55b720a">
      <Terms xmlns="http://schemas.microsoft.com/office/infopath/2007/PartnerControls"/>
    </lcf76f155ced4ddcb4097134ff3c332f>
    <TaxCatchAll xmlns="56d82e4f-1ec8-480b-a401-b34330673c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FD050-3BA2-4C37-830A-3101C7EF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a8e75-4e50-46a2-bede-d249f55b720a"/>
    <ds:schemaRef ds:uri="56d82e4f-1ec8-480b-a401-b3433067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DC15C-C447-4819-B8A7-4AD5BE987C7C}">
  <ds:schemaRefs>
    <ds:schemaRef ds:uri="http://schemas.microsoft.com/office/2006/metadata/properties"/>
    <ds:schemaRef ds:uri="http://schemas.microsoft.com/office/infopath/2007/PartnerControls"/>
    <ds:schemaRef ds:uri="dd1a8e75-4e50-46a2-bede-d249f55b720a"/>
    <ds:schemaRef ds:uri="56d82e4f-1ec8-480b-a401-b34330673ccb"/>
  </ds:schemaRefs>
</ds:datastoreItem>
</file>

<file path=customXml/itemProps3.xml><?xml version="1.0" encoding="utf-8"?>
<ds:datastoreItem xmlns:ds="http://schemas.openxmlformats.org/officeDocument/2006/customXml" ds:itemID="{FDF3BBB7-0938-4B5C-B299-A61D17890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Merici College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Phil Coe</dc:creator>
  <cp:keywords/>
  <dc:description/>
  <cp:lastModifiedBy>Kathleen Garvie</cp:lastModifiedBy>
  <cp:revision>2</cp:revision>
  <cp:lastPrinted>2024-10-28T23:56:00Z</cp:lastPrinted>
  <dcterms:created xsi:type="dcterms:W3CDTF">2025-10-20T18:29:00Z</dcterms:created>
  <dcterms:modified xsi:type="dcterms:W3CDTF">2025-10-20T18:29:00Z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0x01010052BAEF06EF248F47A6A755340B6712E1</vt:lpwstr>
  </property>
</Properties>
</file>